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15378da9d4d1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29164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KNJIŽNICA I ČITAONICA GLINA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171.952,45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200.565,71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162.716,71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183.887,73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9.235,74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16.677,98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12.194,15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14.668,57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12.194,15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14.668,57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2.009,41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prihodi poslovanja ostvareni su u iznosu od 200565,71 eura.  Povećanje od 16,60% u odnosu na isto izvještajno razdoblje prethodne godine odnosi se na povećanje plaća i ostalih materijalnih prava zaposlenika.Ukupni rashodi poslovanja u razdoblju  od 1. siječnja do 31. prosinca 2025. iznose 183.887,73 eura. Povećanje od 13,00% u odnosu na isto izvještajno razdoblje prethodne godine odnosi se na povećanje plaća i ostalih materijalnih prava zaposlenika . Manjak prihoda poslovanja za razdoblje do 31.12.2025. iznosi 16.677,98   eura zbog povećanja plaća i materijalnih prava zaposlenika. U navedenom razdoblju nema ostvarenih prihoda od prodaje nefinancijske imovine, dok su rashodi za nabavu nefinancijske imovine ostvareni u iznosu od 14.668,57 eura. Navedeni rashodi odnose se na nabavu sustava računala  u vrijednosti 4.294,00 eura, knjige u vrijednosti 10.374,57 eura.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171.952,45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200.565,71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116,6</w:t>
            </w:r>
          </w:p>
        </w:tc>
      </w:tr>
    </w:tbl>
    <w:p>
      <w:pPr>
        <w:spacing w:before="0" w:after="0"/>
      </w:pPr>
    </w:p>
    <w:p>
      <w:r>
        <w:t xml:space="preserve">1.             PRIHODI POSLOVANJA (Šifra 6) ostvareni u razdoblju od 1. siječnja do 31. prosinca 2025. iznose 200.565,71 eura, što je za 16,64 % više u odnosu na prethodnu godinu.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18.820,00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128,9</w:t>
            </w:r>
          </w:p>
        </w:tc>
      </w:tr>
    </w:tbl>
    <w:p>
      <w:pPr>
        <w:spacing w:before="0" w:after="0"/>
      </w:pPr>
    </w:p>
    <w:p>
      <w:r>
        <w:t xml:space="preserve">1.1.       Pomoći iz inozemstva i od subjekata unutar općeg proračuna (Šifra 63) ostvarene su u iznosu od 18.820,00 eura, što je za 28,90 % više u odnosu na prethodnu godinu iz razloga što su u tekućoj godini dobivena sredstva za sufinanciranje kazališnih predstava i književnih gostovanja kojih prihoda nije bilo prethodne godine. Pomoći tekuće godine odnose se na pomoći proračunskim korisnicima iz proračuna koji im nije nadležan (Šifra 636) kako sljedi:</w:t>
      </w:r>
    </w:p>
    <w:p>
      <w:r>
        <w:t xml:space="preserve">-                  tekuće pomoći proračunskim korisnicima iz proračuna koji im nije nadležan (Šifra 6361) u iznosu od 7.420,00 eura i to iz Ministarstva kulture i medija za organizaciju kazališnih gostovanja u iznosu od 6.620,00 eura, za književne susrete za djecu u iznosu od 800,00 eura te za dramsku skupinu u iznosu od 0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11.424,05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8.696,50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76,1</w:t>
            </w:r>
          </w:p>
        </w:tc>
      </w:tr>
    </w:tbl>
    <w:p>
      <w:pPr>
        <w:spacing w:before="0" w:after="0"/>
      </w:pPr>
    </w:p>
    <w:p>
      <w:r>
        <w:t xml:space="preserve">1.2.       Prihodi od upravnih i administrativnih pristojbi, pristojbi po posebnim propisima i naknada (Šifra 65) ostvareni su u iznosu od 8.696,50 eura, što je za 23,88 % manje u odnosu na prethodnu godinu .ima (Šifra 652), odnosno na ostale nespomenute prihode (Šifra 6526), točnije na sufinanciranje cijene usluge, participacije i sl. i to na prihode od članarine, zakasnine, naknade za oštećene knjige i dr. u iznosu od 2.438,50 eura te na prihode od prodanih ulaznica za kazališne predstave i prikazivanje filmova u iznosu od 6.258,00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3.191,48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176,3</w:t>
            </w:r>
          </w:p>
        </w:tc>
      </w:tr>
    </w:tbl>
    <w:p>
      <w:pPr>
        <w:spacing w:before="0" w:after="0"/>
      </w:pPr>
    </w:p>
    <w:p>
      <w:r>
        <w:t xml:space="preserve">1.2.       Prihodi od prodaje proizvoda i robe te pruženih usluga, te prihodi od donacija (Šifra 66) ostvareni su u iznosu od 3.191,48 eura, što je 76,34 % veće u odnosu na prethodnu godinu. Izvršenje tekuće godine odnosi se na:</w:t>
      </w:r>
    </w:p>
    <w:p>
      <w:r>
        <w:t xml:space="preserve">-             prihode od prodaje proizvoda i robe te pruženih usluga (Šifra 661) u iznosu od  euro, koji se odnose na prihode od pruženih usluga (Šifra 6615), točnije na prihode od najma prostora u Hrvatskom domu Glina kojih prihoda nije bilo prethodne godine</w:t>
      </w:r>
    </w:p>
    <w:p>
      <w:r>
        <w:t xml:space="preserve">-             donacije od pravnih i fizičkih osoba izvan općeg proračuna i povrat donacija po protestiranim jamstvima (šifre 6631 do 6634) u iznosu od 750,08 eura, koje se odnose na kapitalne donacije (šifra 6632), točnije na kapitalne donacije knjiga, dok tekućih donacija nije bilo tekuće godine, a bilo ih 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144.118,57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169.857,73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117,9</w:t>
            </w:r>
          </w:p>
        </w:tc>
      </w:tr>
    </w:tbl>
    <w:p>
      <w:pPr>
        <w:spacing w:before="0" w:after="0"/>
      </w:pPr>
    </w:p>
    <w:p>
      <w:r>
        <w:t xml:space="preserve">1.2.       Prihodi iz nadležnog proračuna i od HZZO-a temeljem ugovornih obveza (Šifra 67) ostvareni su u iznosu od 169.857,73 eura, što je za 17,86 % više u odnosu na prethodnu godinu. Odnose se na prihode iz nadležnog proračuna za financiranje redovne djelatnosti proračunskih korisnika (Šifra 671) i to na prihode iz nadležnog proračuna za financiranje rashoda poslovanja (Šifra 6711) u iznosu od 167.339,24 eura te na prihode iz nadležnog proračuna za financiranje rashoda za nabavu nefinancijske imovine (Šifra 6712) u iznosu od 2.518,49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162.716,71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183.887,73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113,0</w:t>
            </w:r>
          </w:p>
        </w:tc>
      </w:tr>
    </w:tbl>
    <w:p>
      <w:pPr>
        <w:spacing w:before="0" w:after="0"/>
      </w:pPr>
    </w:p>
    <w:p>
      <w:r>
        <w:t xml:space="preserve">1.             RASHODI POSLOVANJA (Šifra 3) izvršeni su u iznosu od 183.887,73 eura, što je za 13,01% više u odnosu na prethodnu godinu i izvršeni su u okviru planiranih.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112.264,51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132.981,44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118,5</w:t>
            </w:r>
          </w:p>
        </w:tc>
      </w:tr>
    </w:tbl>
    <w:p>
      <w:pPr>
        <w:spacing w:before="0" w:after="0"/>
      </w:pPr>
    </w:p>
    <w:p>
      <w:r>
        <w:t xml:space="preserve">Rashodi za zaposlene (Šifra 31) izvršeni su u iznosu od 132.981,44 euro, što je za 18,45 % više u odnosu na prethodnu godinu. Odnose se na plaće (bruto), ostale rashode za zaposlene (Šifra 312) i doprinose na plaće (Šifra 313).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50.452,20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50.906,29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100,9</w:t>
            </w:r>
          </w:p>
        </w:tc>
      </w:tr>
    </w:tbl>
    <w:p>
      <w:pPr>
        <w:spacing w:before="0" w:after="0"/>
      </w:pPr>
    </w:p>
    <w:p>
      <w:r>
        <w:t xml:space="preserve">1.2.            Materijalni rashodi (Šifra 32) izvršeni su u iznosu od 50.906,29,20 eura, što je za 0,90 % više u odnosu na prethodnu godinu. Odnose se na naknade troškova zaposlenima (Šifra 321),  rashode za materijal i energiju (Šifra 322), rashode za usluge (Šifra 323) i ostale nespomenute rashode poslovanja (Šifra 329).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162.716,71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183.887,73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113,0</w:t>
            </w:r>
          </w:p>
        </w:tc>
      </w:tr>
    </w:tbl>
    <w:p>
      <w:pPr>
        <w:spacing w:before="0" w:after="0"/>
      </w:pPr>
    </w:p>
    <w:p>
      <w:r>
        <w:t xml:space="preserve">1.             RASHODI POSLOVANJA (Šifra 3) izvršeni su u iznosu od 183.887,73 eura, što je za 13,01% više u odnosu na prethodnu godinu i izvršeni su u okviru planiranih.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12.194,15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14.668,57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</w:tbl>
    <w:p>
      <w:pPr>
        <w:spacing w:before="0" w:after="0"/>
      </w:pPr>
    </w:p>
    <w:p>
      <w:r>
        <w:t xml:space="preserve">4.             RASHODI ZA NABAVU NEFINANCIJSKE IMOVINE (Šifra 4) izvršeni su u iznosu od 14.668,57 eura, što je za 20,30 % više u odnosu na prethodnu godinu. Odnose se na rashode za nabavu proizvedene dugotrajne imovine (Šifra 42) i to na:</w:t>
      </w:r>
    </w:p>
    <w:p>
      <w:r>
        <w:t xml:space="preserve">-                   postrojenja i opremu (Šifra 422) u iznosu od  4.294,00 eura, što je za 98,10  % više u odnosu na prethodnu godinu, a  koji se odnose na  računala (Šifra 4221)</w:t>
      </w:r>
    </w:p>
    <w:p>
      <w:r>
        <w:t xml:space="preserve">-                 knjige, umjetnička djela i ostale izložbene vrijednosti (Šifra 424) u iznosu od 10374,57   eura, što je za 3,50 % više u odnosu na prethodnu godinu, a odnose se na nabavu knjiga.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(šifre 6+7)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171.952,45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200.565,71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116,6</w:t>
            </w:r>
          </w:p>
        </w:tc>
      </w:tr>
    </w:tbl>
    <w:p>
      <w:pPr>
        <w:spacing w:before="0" w:after="0"/>
      </w:pPr>
    </w:p>
    <w:p>
      <w:r>
        <w:t xml:space="preserve">1.             PRIHODI POSLOVANJA (Šifra 6) ostvareni u razdoblju od 1. siječnja do 31. prosinca 2025. iznose 200.565,71 eura, što je za 16,64 % više u odnosu na prethodnu godinu.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I PRIMICI (šifre X067+8)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X678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171.952,45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200.565,71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116,6</w:t>
            </w:r>
          </w:p>
        </w:tc>
      </w:tr>
    </w:tbl>
    <w:p>
      <w:pPr>
        <w:spacing w:before="0" w:after="0"/>
      </w:pPr>
    </w:p>
    <w:p>
      <w:r>
        <w:t xml:space="preserve">4.             UKUPNI PRIHODI I PRIMICI (Šifra X678)  ostvareni su u iznosu od 200.565,71 eura, što je za 16,64 % više u odnosu na prethodnu godinu. 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I IZDACI (šifre Y034+5)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Y345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174.910,86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198.556,30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113,5</w:t>
            </w:r>
          </w:p>
        </w:tc>
      </w:tr>
    </w:tbl>
    <w:p>
      <w:pPr>
        <w:spacing w:before="0" w:after="0"/>
      </w:pPr>
    </w:p>
    <w:p>
      <w:r>
        <w:t xml:space="preserve">4.             UKUPNI RASHODI I IZDACI (Šifra Y345)  izvršeni su u iznosu od 198.556,30 eura, što je za 13,50 % više u odnosu na prethodnu godinu. 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266.395,50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261.473,36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98,2</w:t>
            </w:r>
          </w:p>
        </w:tc>
      </w:tr>
    </w:tbl>
    <w:p>
      <w:pPr>
        <w:spacing w:before="0" w:after="0"/>
      </w:pPr>
    </w:p>
    <w:p>
      <w:r>
        <w:t xml:space="preserve">IMOVINA (Šifra B001) iznosi 261.473,36 eura, što je za 1,8 % manje u odnosu na prethodnu godinu, a odnosi se na nefinancijsku imovinu (Šifra B002) i financijsku imovinu (Šifra 1). Smanjenje je zbog toga što je ispravk vrijednosti veći od nabave dugotrajne imovine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Rekreacija, kultura i religija (šifre 081 do 086)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174.910,86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198.556,30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113,5</w:t>
            </w:r>
          </w:p>
        </w:tc>
      </w:tr>
    </w:tbl>
    <w:p>
      <w:pPr>
        <w:spacing w:before="0" w:after="0"/>
      </w:pPr>
    </w:p>
    <w:p>
      <w:r>
        <w:t xml:space="preserve">1.             Rashodi prema funkcijskoj klasifikaciji (Šifra R1) izvršeni su u ukupnom iznosu od 198.556,30 eura, što je za 13,50 % više u odnosu na prethodnu godinu.</w:t>
      </w:r>
    </w:p>
    <w:p>
      <w:r>
        <w:t xml:space="preserve">Mogu se izvršavati kroz 10 funkcija propisanih Pravilnikom o proračunskim klasifikacijama (Narodne novine 26/10, 120/13 i 1/20). </w:t>
      </w:r>
    </w:p>
    <w:p>
      <w:r>
        <w:t xml:space="preserve">   Izvršenje rashoda prema funkcijskoj klasifikaciji odnosi se na rekreaciju, kulturu i religiju (Šifra 08) (Šifra 08), točnije na službe kulture (Šifra 082).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18.980,69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 razdoblje od 1. siječnja do 31. prosinca 2025. Knjižnica i čitaonica Glina ima promjene za iznos ispravka vrijednosti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10.371,96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1.             Stanje obveza na kraju izvještajnog razdoblja (Šifra V006) iznosi 10.371,96 dnose se na stanje nedospjelih obveza na kraju izvještajnog razdoblja (Šifra V009), a koje se odnose na:</w:t>
      </w:r>
    </w:p>
    <w:p>
      <w:r>
        <w:t xml:space="preserve">-    obveze za rashode poslovanja (Šifra ND23) u iznosu od 10.371,96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f9e569448646d6" /></Relationships>
</file>